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Arial" w:cs="Arial" w:eastAsia="Arial" w:hAnsi="Arial"/>
          <w:b/>
          <w:bCs/>
          <w:color w:val="1A1A2E"/>
          <w:sz w:val="34"/>
          <w:szCs w:val="34"/>
        </w:rPr>
        <w:t xml:space="preserve">Ahmed Elshahawy</w:t>
      </w:r>
    </w:p>
    <w:p>
      <w:pPr>
        <w:spacing w:after="3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Chief Technology Officer | AI &amp; Enterprise Platforms | Architecture, Scale &amp; Governance</w:t>
      </w:r>
    </w:p>
    <w:p>
      <w:pPr>
        <w:spacing w:after="2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Email: shahawy@gmail.com | Phone: +60 17-277-1821 | Location: Selangor, Malaysia | ahmedelshahawy.com</w:t>
      </w:r>
    </w:p>
    <w:p>
      <w:pPr>
        <w:spacing w:after="40"/>
      </w:pPr>
      <w:r>
        <w:rPr>
          <w:rFonts w:ascii="Arial" w:cs="Arial" w:eastAsia="Arial" w:hAnsi="Arial"/>
          <w:color w:val="888888"/>
          <w:sz w:val="17"/>
          <w:szCs w:val="17"/>
        </w:rPr>
        <w:t xml:space="preserve">Work Authorization: Malaysia RP-T (No Sponsorship Required)</w:t>
      </w:r>
    </w:p>
    <w:p>
      <w:pPr>
        <w:pBdr>
          <w:bottom w:val="single" w:color="BBBBBB" w:sz="4" w:space="1"/>
        </w:pBdr>
        <w:spacing w:before="80" w:after="8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EXECUTIVE SUMMARY</w:t>
      </w:r>
    </w:p>
    <w:p>
      <w:pPr>
        <w:spacing w:after="40"/>
      </w:pPr>
      <w:r>
        <w:rPr>
          <w:rFonts w:ascii="Arial" w:cs="Arial" w:eastAsia="Arial" w:hAnsi="Arial"/>
          <w:color w:val="1A1A2E"/>
          <w:sz w:val="18"/>
          <w:szCs w:val="18"/>
        </w:rPr>
        <w:t xml:space="preserve">Technology executive with 20+ years architecting and delivering enterprise-grade platforms across AI, data, cloud, and distributed systems. Deep hands-on expertise in production GenAI systems (RAG, multi-agent orchestration, SLMs), cloud-native infrastructure, and data platform engineering. Proven in leading multi-team engineering organizations, establishing technical governance, and delivering mission-critical systems for regulated industries including financial services, government, and telecommunications.</w:t>
      </w:r>
    </w:p>
    <w:p>
      <w:pPr>
        <w:pBdr>
          <w:bottom w:val="single" w:color="BBBBBB" w:sz="4" w:space="1"/>
        </w:pBdr>
        <w:spacing w:before="80" w:after="8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TECHNICAL COMPETENCIES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16213E"/>
          <w:sz w:val="17"/>
          <w:szCs w:val="17"/>
        </w:rPr>
        <w:t xml:space="preserve">AI &amp; ML: </w:t>
      </w:r>
      <w:r>
        <w:rPr>
          <w:rFonts w:ascii="Arial" w:cs="Arial" w:eastAsia="Arial" w:hAnsi="Arial"/>
          <w:color w:val="1A1A2E"/>
          <w:sz w:val="17"/>
          <w:szCs w:val="17"/>
        </w:rPr>
        <w:t xml:space="preserve">Production GenAI systems, RAG architecture, multi-agent orchestration, LLM fine-tuning &amp; evaluation, vector search, knowledge graphs, NLP/NLU, Small Language Models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16213E"/>
          <w:sz w:val="17"/>
          <w:szCs w:val="17"/>
        </w:rPr>
        <w:t xml:space="preserve">Architecture: </w:t>
      </w:r>
      <w:r>
        <w:rPr>
          <w:rFonts w:ascii="Arial" w:cs="Arial" w:eastAsia="Arial" w:hAnsi="Arial"/>
          <w:color w:val="1A1A2E"/>
          <w:sz w:val="17"/>
          <w:szCs w:val="17"/>
        </w:rPr>
        <w:t xml:space="preserve">Distributed systems, event-driven microservices, multi-tenant SaaS, API design, real-time messaging &amp; streaming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16213E"/>
          <w:sz w:val="17"/>
          <w:szCs w:val="17"/>
        </w:rPr>
        <w:t xml:space="preserve">Cloud &amp; Infra: </w:t>
      </w:r>
      <w:r>
        <w:rPr>
          <w:rFonts w:ascii="Arial" w:cs="Arial" w:eastAsia="Arial" w:hAnsi="Arial"/>
          <w:color w:val="1A1A2E"/>
          <w:sz w:val="17"/>
          <w:szCs w:val="17"/>
        </w:rPr>
        <w:t xml:space="preserve">Cloud-native infrastructure (AWS, GCP, Azure), CI/CD pipelines, Infrastructure-as-Code, observability &amp; reliability engineering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16213E"/>
          <w:sz w:val="17"/>
          <w:szCs w:val="17"/>
        </w:rPr>
        <w:t xml:space="preserve">Data Platforms: </w:t>
      </w:r>
      <w:r>
        <w:rPr>
          <w:rFonts w:ascii="Arial" w:cs="Arial" w:eastAsia="Arial" w:hAnsi="Arial"/>
          <w:color w:val="1A1A2E"/>
          <w:sz w:val="17"/>
          <w:szCs w:val="17"/>
        </w:rPr>
        <w:t xml:space="preserve">Data engineering &amp; pipelines, data quality &amp; governance, data warehousing, analytics platforms, regulatory compliance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color w:val="16213E"/>
          <w:sz w:val="17"/>
          <w:szCs w:val="17"/>
        </w:rPr>
        <w:t xml:space="preserve">Security: </w:t>
      </w:r>
      <w:r>
        <w:rPr>
          <w:rFonts w:ascii="Arial" w:cs="Arial" w:eastAsia="Arial" w:hAnsi="Arial"/>
          <w:color w:val="1A1A2E"/>
          <w:sz w:val="17"/>
          <w:szCs w:val="17"/>
        </w:rPr>
        <w:t xml:space="preserve">Enterprise encryption (E2E), penetration testing, security-by-design, compliance for regulated environments</w:t>
      </w:r>
    </w:p>
    <w:p>
      <w:pPr>
        <w:pBdr>
          <w:bottom w:val="single" w:color="BBBBBB" w:sz="4" w:space="1"/>
        </w:pBdr>
        <w:spacing w:before="80" w:after="8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PROFESSIONAL EXPERIENCE</w:t>
      </w:r>
    </w:p>
    <w:p>
      <w:pPr>
        <w:spacing w:before="120" w:after="1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DXwand – Chief Technology Officer / VP Engineering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September 2023 – Present | Remote / Malaysia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Built and led a 17+ FTE engineering organization (AI, platform, DevOps, QA, SecOps), establishing hiring standards, engineering excellence practices, and delivery accountability.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Architected Orxtra, a production-grade GenAI platform for knowledge discovery and RAG using vector search, LLM orchestration, multi-agent workflows, and knowledge graphs — deployed to Tier-1 enterprise clients including Kuwait Ministry of Education.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Designed and built MerlinX, a self-serve conversational AI SaaS product on a multi-agent architecture, integrated with WhatsApp/Messenger APIs, subscription billing, and real-time analytics pipelines.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Built Prism, a proprietary Small Language Model optimized for speed, cost-efficiency, and domain-specific generation tasks.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Designed multi-tenant cloud-native infrastructure with event-driven microservices, distributed messaging, and database concurrency optimization.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Implemented comprehensive AI evaluation and monitoring using LLM-as-a-Judge, automated regression testing, and production observability stacks.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Established CI/CD pipelines and Infrastructure-as-Code, achieving ~90% reduction in time-to-market and 50% higher answer accuracy.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Led enterprise security strategy: end-to-end encryption, penetration testing, CI/CD hardening, and real-time monitoring.</w:t>
      </w:r>
    </w:p>
    <w:p>
      <w:pPr>
        <w:spacing w:before="120" w:after="1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Fusang Global – Digital Assets Exchange (Malaysia) – Head of Delivery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February 2023 – August 2023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Led engineering delivery for a regulated digital assets platform under strict compliance, security, and availability requirements, including secure API design and blockchain integration.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Oversaw distributed systems architecture for exchange matching engines, custody solutions, and regulatory reporting pipelines.</w:t>
      </w:r>
    </w:p>
    <w:p>
      <w:pPr>
        <w:spacing w:before="120" w:after="1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Ernst &amp; Young (EY) – Malaysia – Senior Manager, Solution Architecture (Data &amp; Analytics)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November 2021 – January 2023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Led solution architecture for large-scale Data &amp; Analytics programs in financial services, including real-time data ingestion, data lake/warehouse architectures, and analytics platforms.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Directed multi-disciplinary delivery teams of ~30 FTEs across data engineering, analytics, and platform architecture in regulated environments, managing a $2M program budget.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Served as senior technical authority for enterprise data platforms: architecture, ETL/ELT pipelines, governance frameworks, security models, and cloud migration strategies.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Founded and led the Solution Architecture Community of Practice, establishing best practices, design patterns, and consistency across the firm’s delivery engagements.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Defined data lineage, quality, and governance standards across large-scale financial data estates, ensuring regulatory compliance and audit readiness.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Mentored and developed junior architects and engineers, building a culture of technical excellence and continuous improvement within the practice.</w:t>
      </w:r>
    </w:p>
    <w:p>
      <w:pPr>
        <w:spacing w:before="120" w:after="1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Experian – Malaysia – Senior Technical Architect, Data Management Practice Lead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2015 – 2021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Led solution architecture for a global decisioning platform deployed across 28 countries for Standard Chartered Bank, including distributed data pipelines, scoring engines, and real-time decisioning APIs.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Designed cloud-based Decision-as-a-Service platforms supporting financial inclusion and large-scale analytics with data quality, lineage, and governance patterns.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Owned the Data Management &amp; Quality business line end-to-end: technical strategy, delivery standards, and go-to-market execution across multiple industries.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Coordinated global engineering teams across APAC, EMEA, and Americas to deliver enterprise-scale data integration and quality solutions.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Led proof-of-concept engagements with a global Tier-1 bank, translating business requirements into scalable technical architectures that won multi-year contracts.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Delivered thought leadership via industry talks and webinars on enterprise data management, cloud migration, and data governance best practices.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Received multiple Experian awards for leadership, innovation, and client impact.</w:t>
      </w:r>
    </w:p>
    <w:p>
      <w:pPr>
        <w:spacing w:before="120" w:after="10"/>
      </w:pPr>
      <w:r>
        <w:rPr>
          <w:rFonts w:ascii="Arial" w:cs="Arial" w:eastAsia="Arial" w:hAnsi="Arial"/>
          <w:b/>
          <w:bCs/>
          <w:color w:val="1A1A2E"/>
          <w:sz w:val="19"/>
          <w:szCs w:val="19"/>
        </w:rPr>
        <w:t xml:space="preserve">IBM – Middle East – IT Architect / Senior Consultant</w:t>
      </w:r>
    </w:p>
    <w:p>
      <w:pPr>
        <w:spacing w:after="6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2005 – 2015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Led architecture, delivery, and presales for enterprise data, BI, CRM, and integration platforms across telecom, banking, and government sectors.</w:t>
      </w:r>
    </w:p>
    <w:p>
      <w:pPr>
        <w:pStyle w:val="ListParagraph"/>
        <w:numPr>
          <w:ilvl w:val="0"/>
          <w:numId w:val="2"/>
        </w:numPr>
        <w:spacing w:before="20" w:after="30"/>
      </w:pPr>
      <w:r>
        <w:rPr>
          <w:rFonts w:ascii="Arial" w:cs="Arial" w:eastAsia="Arial" w:hAnsi="Arial"/>
          <w:sz w:val="18"/>
          <w:szCs w:val="18"/>
        </w:rPr>
        <w:t xml:space="preserve">Designed large-scale ETL/data warehousing solutions, enterprise service bus integrations, and analytics platforms for multi-country deployments.</w:t>
      </w:r>
    </w:p>
    <w:p>
      <w:pPr>
        <w:pBdr>
          <w:bottom w:val="single" w:color="BBBBBB" w:sz="4" w:space="1"/>
        </w:pBdr>
        <w:spacing w:before="80" w:after="80"/>
      </w:pPr>
    </w:p>
    <w:p>
      <w:pPr>
        <w:spacing w:before="100" w:after="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EDUCATION &amp; AWARDS</w:t>
      </w:r>
    </w:p>
    <w:p>
      <w:pPr>
        <w:spacing w:after="20"/>
      </w:pPr>
      <w:r>
        <w:rPr>
          <w:rFonts w:ascii="Arial" w:cs="Arial" w:eastAsia="Arial" w:hAnsi="Arial"/>
          <w:color w:val="1A1A2E"/>
          <w:sz w:val="18"/>
          <w:szCs w:val="18"/>
        </w:rPr>
        <w:t xml:space="preserve">Bachelor of Computer Science, Cairo University – 2005</w:t>
      </w:r>
    </w:p>
    <w:p>
      <w:pPr>
        <w:spacing w:after="20"/>
      </w:pPr>
      <w:r>
        <w:rPr>
          <w:rFonts w:ascii="Arial" w:cs="Arial" w:eastAsia="Arial" w:hAnsi="Arial"/>
          <w:color w:val="1A1A2E"/>
          <w:sz w:val="18"/>
          <w:szCs w:val="18"/>
        </w:rPr>
        <w:t xml:space="preserve">DXwand Award of Impact (2×) | IBM Award of Performance | Experian Awards (Leadership, Innovation)</w:t>
      </w:r>
    </w:p>
    <w:sectPr>
      <w:pgSz w:w="12240" w:h="15840" w:orient="portrait"/>
      <w:pgMar w:top="720" w:right="1440" w:bottom="72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2026-02-15T11:43:27.339Z</dcterms:created>
  <dcterms:modified xsi:type="dcterms:W3CDTF">2026-02-15T11:43:27.339Z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